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Lesson Plan Template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0"/>
        <w:gridCol w:w="5025"/>
        <w:gridCol w:w="2175"/>
        <w:tblGridChange w:id="0">
          <w:tblGrid>
            <w:gridCol w:w="7200"/>
            <w:gridCol w:w="5025"/>
            <w:gridCol w:w="2175"/>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Subject: Physical Education </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Topic &amp; Concept: KC Royals &amp; Literacy</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Grade: 6, 7, 8</w:t>
            </w:r>
          </w:p>
        </w:tc>
      </w:tr>
    </w:tbl>
    <w:p w:rsidR="00000000" w:rsidDel="00000000" w:rsidP="00000000" w:rsidRDefault="00000000" w:rsidRPr="00000000">
      <w:pPr>
        <w:contextualSpacing w:val="0"/>
      </w:pPr>
      <w:r w:rsidDel="00000000" w:rsidR="00000000" w:rsidRPr="00000000">
        <w:rPr>
          <w:rtl w:val="0"/>
        </w:rPr>
      </w:r>
    </w:p>
    <w:tbl>
      <w:tblPr>
        <w:tblStyle w:val="Table2"/>
        <w:bidi w:val="0"/>
        <w:tblW w:w="144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12645"/>
        <w:tblGridChange w:id="0">
          <w:tblGrid>
            <w:gridCol w:w="1770"/>
            <w:gridCol w:w="12645"/>
          </w:tblGrid>
        </w:tblGridChange>
      </w:tblGrid>
      <w:tr>
        <w:trPr>
          <w:trHeight w:val="700" w:hRule="atLeast"/>
        </w:trP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Standards:</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Literacy Anchor Standard: Standard 4: Engage a strategic and coherent focus on literacy learning across all content areas with shared literacy responsibility from all Kansas educators.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3"/>
        <w:bidi w:val="0"/>
        <w:tblW w:w="143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5130"/>
        <w:gridCol w:w="6930"/>
        <w:tblGridChange w:id="0">
          <w:tblGrid>
            <w:gridCol w:w="2325"/>
            <w:gridCol w:w="5130"/>
            <w:gridCol w:w="6930"/>
          </w:tblGrid>
        </w:tblGridChange>
      </w:tblGrid>
      <w:tr>
        <w:trPr>
          <w:trHeight w:val="980" w:hRule="atLeast"/>
        </w:trP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Content Objectives:</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Students will be able to summarize what they saw in the Royals video. </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Language Objectives:</w:t>
            </w:r>
          </w:p>
          <w:p w:rsidR="00000000" w:rsidDel="00000000" w:rsidP="00000000" w:rsidRDefault="00000000" w:rsidRPr="00000000">
            <w:pPr>
              <w:contextualSpacing w:val="0"/>
            </w:pPr>
            <w:r w:rsidDel="00000000" w:rsidR="00000000" w:rsidRPr="00000000">
              <w:rPr>
                <w:rtl w:val="0"/>
              </w:rPr>
              <w:t xml:space="preserve">Students will listen to the video as it describes the Royals 2014 playoff season. </w:t>
            </w:r>
          </w:p>
          <w:p w:rsidR="00000000" w:rsidDel="00000000" w:rsidP="00000000" w:rsidRDefault="00000000" w:rsidRPr="00000000">
            <w:pPr>
              <w:contextualSpacing w:val="0"/>
            </w:pPr>
            <w:r w:rsidDel="00000000" w:rsidR="00000000" w:rsidRPr="00000000">
              <w:rPr>
                <w:rtl w:val="0"/>
              </w:rPr>
              <w:t xml:space="preserve">Students will summarize, and create sentences about the Royals 2014 playoff season.  </w:t>
            </w:r>
          </w:p>
        </w:tc>
      </w:tr>
    </w:tbl>
    <w:p w:rsidR="00000000" w:rsidDel="00000000" w:rsidP="00000000" w:rsidRDefault="00000000" w:rsidRPr="00000000">
      <w:pPr>
        <w:contextualSpacing w:val="0"/>
      </w:pPr>
      <w:r w:rsidDel="00000000" w:rsidR="00000000" w:rsidRPr="00000000">
        <w:rPr>
          <w:rtl w:val="0"/>
        </w:rPr>
      </w:r>
    </w:p>
    <w:tbl>
      <w:tblPr>
        <w:tblStyle w:val="Table4"/>
        <w:bidi w:val="0"/>
        <w:tblW w:w="143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12045"/>
        <w:tblGridChange w:id="0">
          <w:tblGrid>
            <w:gridCol w:w="2340"/>
            <w:gridCol w:w="12045"/>
          </w:tblGrid>
        </w:tblGridChange>
      </w:tblGrid>
      <w:tr>
        <w:trPr>
          <w:trHeight w:val="1360" w:hRule="atLeast"/>
        </w:trP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Assessment Plan:  </w:t>
            </w:r>
            <w:r w:rsidDel="00000000" w:rsidR="00000000" w:rsidRPr="00000000">
              <w:rPr>
                <w:sz w:val="20"/>
                <w:szCs w:val="20"/>
                <w:rtl w:val="0"/>
              </w:rPr>
              <w:t xml:space="preserve">(Formative and/or Summative)</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rtl w:val="0"/>
              </w:rPr>
              <w:t xml:space="preserve">Summative assessment: </w:t>
            </w:r>
            <w:r w:rsidDel="00000000" w:rsidR="00000000" w:rsidRPr="00000000">
              <w:rPr>
                <w:rtl w:val="0"/>
              </w:rPr>
              <w:t xml:space="preserve">The summative assessment will be a 15 question multiple choice unit test on baseball position, strategies, rules and concepts.  </w:t>
            </w:r>
          </w:p>
        </w:tc>
      </w:tr>
    </w:tbl>
    <w:p w:rsidR="00000000" w:rsidDel="00000000" w:rsidP="00000000" w:rsidRDefault="00000000" w:rsidRPr="00000000">
      <w:pPr>
        <w:contextualSpacing w:val="0"/>
      </w:pPr>
      <w:r w:rsidDel="00000000" w:rsidR="00000000" w:rsidRPr="00000000">
        <w:rPr>
          <w:rtl w:val="0"/>
        </w:rPr>
      </w:r>
    </w:p>
    <w:tbl>
      <w:tblPr>
        <w:tblStyle w:val="Table5"/>
        <w:bidi w:val="0"/>
        <w:tblW w:w="143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6825"/>
        <w:gridCol w:w="5205"/>
        <w:tblGridChange w:id="0">
          <w:tblGrid>
            <w:gridCol w:w="2325"/>
            <w:gridCol w:w="6825"/>
            <w:gridCol w:w="5205"/>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Integration of Literacy:  </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Reading</w:t>
            </w:r>
          </w:p>
          <w:p w:rsidR="00000000" w:rsidDel="00000000" w:rsidP="00000000" w:rsidRDefault="00000000" w:rsidRPr="00000000">
            <w:pPr>
              <w:numPr>
                <w:ilvl w:val="0"/>
                <w:numId w:val="1"/>
              </w:numPr>
              <w:ind w:left="720" w:hanging="360"/>
              <w:contextualSpacing w:val="1"/>
              <w:rPr>
                <w:sz w:val="20"/>
                <w:szCs w:val="20"/>
                <w:u w:val="none"/>
              </w:rPr>
            </w:pPr>
            <w:r w:rsidDel="00000000" w:rsidR="00000000" w:rsidRPr="00000000">
              <w:rPr>
                <w:sz w:val="20"/>
                <w:szCs w:val="20"/>
                <w:rtl w:val="0"/>
              </w:rPr>
              <w:t xml:space="preserve">Writing</w:t>
            </w:r>
          </w:p>
          <w:p w:rsidR="00000000" w:rsidDel="00000000" w:rsidP="00000000" w:rsidRDefault="00000000" w:rsidRPr="00000000">
            <w:pPr>
              <w:numPr>
                <w:ilvl w:val="0"/>
                <w:numId w:val="1"/>
              </w:numPr>
              <w:ind w:left="720" w:hanging="360"/>
              <w:contextualSpacing w:val="1"/>
              <w:rPr>
                <w:sz w:val="20"/>
                <w:szCs w:val="20"/>
                <w:u w:val="none"/>
              </w:rPr>
            </w:pPr>
            <w:r w:rsidDel="00000000" w:rsidR="00000000" w:rsidRPr="00000000">
              <w:rPr>
                <w:sz w:val="20"/>
                <w:szCs w:val="20"/>
                <w:rtl w:val="0"/>
              </w:rPr>
              <w:t xml:space="preserve">Listening</w:t>
            </w:r>
          </w:p>
          <w:p w:rsidR="00000000" w:rsidDel="00000000" w:rsidP="00000000" w:rsidRDefault="00000000" w:rsidRPr="00000000">
            <w:pPr>
              <w:numPr>
                <w:ilvl w:val="0"/>
                <w:numId w:val="1"/>
              </w:numPr>
              <w:ind w:left="720" w:hanging="360"/>
              <w:contextualSpacing w:val="1"/>
              <w:rPr>
                <w:sz w:val="20"/>
                <w:szCs w:val="20"/>
                <w:u w:val="none"/>
              </w:rPr>
            </w:pPr>
            <w:r w:rsidDel="00000000" w:rsidR="00000000" w:rsidRPr="00000000">
              <w:rPr>
                <w:sz w:val="20"/>
                <w:szCs w:val="20"/>
                <w:rtl w:val="0"/>
              </w:rPr>
              <w:t xml:space="preserve">Speaking</w:t>
            </w:r>
          </w:p>
          <w:p w:rsidR="00000000" w:rsidDel="00000000" w:rsidP="00000000" w:rsidRDefault="00000000" w:rsidRPr="00000000">
            <w:pPr>
              <w:numPr>
                <w:ilvl w:val="0"/>
                <w:numId w:val="1"/>
              </w:numPr>
              <w:ind w:left="720" w:hanging="360"/>
              <w:contextualSpacing w:val="1"/>
              <w:rPr>
                <w:sz w:val="20"/>
                <w:szCs w:val="20"/>
                <w:u w:val="none"/>
              </w:rPr>
            </w:pPr>
            <w:r w:rsidDel="00000000" w:rsidR="00000000" w:rsidRPr="00000000">
              <w:rPr>
                <w:sz w:val="20"/>
                <w:szCs w:val="20"/>
                <w:rtl w:val="0"/>
              </w:rPr>
              <w:t xml:space="preserve">Viewing</w:t>
            </w:r>
          </w:p>
          <w:p w:rsidR="00000000" w:rsidDel="00000000" w:rsidP="00000000" w:rsidRDefault="00000000" w:rsidRPr="00000000">
            <w:pPr>
              <w:numPr>
                <w:ilvl w:val="0"/>
                <w:numId w:val="1"/>
              </w:numPr>
              <w:ind w:left="720" w:hanging="360"/>
              <w:contextualSpacing w:val="1"/>
              <w:rPr>
                <w:sz w:val="20"/>
                <w:szCs w:val="20"/>
                <w:u w:val="none"/>
              </w:rPr>
            </w:pPr>
            <w:r w:rsidDel="00000000" w:rsidR="00000000" w:rsidRPr="00000000">
              <w:rPr>
                <w:sz w:val="20"/>
                <w:szCs w:val="20"/>
                <w:rtl w:val="0"/>
              </w:rPr>
              <w:t xml:space="preserve">Visual Representation</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Reading: Students will need to read the questions on the post-assessment and answer them.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Writing: Students are writing a power paragraph from a four-square graphic organizer.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Listening: Students will need to listen to the videos to get details for their power paragraph.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Speaking: Students may ask questions.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Viewing: Students will watch the videos.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Visual Representation: The players in the video are doing the same skills they just worked on mastering during the unit</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Vocabulary:</w:t>
            </w:r>
          </w:p>
          <w:p w:rsidR="00000000" w:rsidDel="00000000" w:rsidP="00000000" w:rsidRDefault="00000000" w:rsidRPr="00000000">
            <w:pPr>
              <w:contextualSpacing w:val="0"/>
            </w:pPr>
            <w:r w:rsidDel="00000000" w:rsidR="00000000" w:rsidRPr="00000000">
              <w:rPr>
                <w:b w:val="1"/>
                <w:rtl w:val="0"/>
              </w:rPr>
              <w:t xml:space="preserve">Kansas City Royals: </w:t>
            </w:r>
            <w:r w:rsidDel="00000000" w:rsidR="00000000" w:rsidRPr="00000000">
              <w:rPr>
                <w:color w:val="222222"/>
                <w:highlight w:val="white"/>
                <w:rtl w:val="0"/>
              </w:rPr>
              <w:t xml:space="preserve">American professional baseball team based in Kansas City, Missouri. The Royals are a member of the Central Division of Major League Baseball's American League.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Playoffs: </w:t>
            </w:r>
            <w:r w:rsidDel="00000000" w:rsidR="00000000" w:rsidRPr="00000000">
              <w:rPr>
                <w:rtl w:val="0"/>
              </w:rPr>
              <w:t xml:space="preserve">Series leading up to the World Series. </w:t>
            </w:r>
          </w:p>
          <w:p w:rsidR="00000000" w:rsidDel="00000000" w:rsidP="00000000" w:rsidRDefault="00000000" w:rsidRPr="00000000">
            <w:pPr>
              <w:contextualSpacing w:val="0"/>
            </w:pPr>
            <w:r w:rsidDel="00000000" w:rsidR="00000000" w:rsidRPr="00000000">
              <w:rPr>
                <w:rtl w:val="0"/>
              </w:rPr>
              <w:t xml:space="preserve">The Royals played the Oakland A’s, Baltimore Orioles, and the Los Angeles Angels.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World Series: </w:t>
            </w:r>
            <w:r w:rsidDel="00000000" w:rsidR="00000000" w:rsidRPr="00000000">
              <w:rPr>
                <w:highlight w:val="white"/>
                <w:rtl w:val="0"/>
              </w:rPr>
              <w:t xml:space="preserve">The </w:t>
            </w:r>
            <w:r w:rsidDel="00000000" w:rsidR="00000000" w:rsidRPr="00000000">
              <w:rPr>
                <w:rtl w:val="0"/>
              </w:rPr>
              <w:t xml:space="preserve">World Series</w:t>
            </w:r>
            <w:r w:rsidDel="00000000" w:rsidR="00000000" w:rsidRPr="00000000">
              <w:rPr>
                <w:highlight w:val="white"/>
                <w:rtl w:val="0"/>
              </w:rPr>
              <w:t xml:space="preserve"> is the annual championship series of North American-based </w:t>
            </w:r>
            <w:hyperlink r:id="rId5">
              <w:r w:rsidDel="00000000" w:rsidR="00000000" w:rsidRPr="00000000">
                <w:rPr>
                  <w:rtl w:val="0"/>
                </w:rPr>
                <w:t xml:space="preserve">Major League Baseball</w:t>
              </w:r>
            </w:hyperlink>
            <w:r w:rsidDel="00000000" w:rsidR="00000000" w:rsidRPr="00000000">
              <w:rPr>
                <w:highlight w:val="white"/>
                <w:rtl w:val="0"/>
              </w:rPr>
              <w:t xml:space="preserve">(MLB), played since </w:t>
            </w:r>
            <w:hyperlink r:id="rId6">
              <w:r w:rsidDel="00000000" w:rsidR="00000000" w:rsidRPr="00000000">
                <w:rPr>
                  <w:u w:val="single"/>
                  <w:rtl w:val="0"/>
                </w:rPr>
                <w:t xml:space="preserve">1903</w:t>
              </w:r>
            </w:hyperlink>
            <w:r w:rsidDel="00000000" w:rsidR="00000000" w:rsidRPr="00000000">
              <w:rPr>
                <w:highlight w:val="white"/>
                <w:rtl w:val="0"/>
              </w:rPr>
              <w:t xml:space="preserve"> between the </w:t>
            </w:r>
            <w:hyperlink r:id="rId7">
              <w:r w:rsidDel="00000000" w:rsidR="00000000" w:rsidRPr="00000000">
                <w:rPr>
                  <w:rtl w:val="0"/>
                </w:rPr>
                <w:t xml:space="preserve">American League</w:t>
              </w:r>
            </w:hyperlink>
            <w:r w:rsidDel="00000000" w:rsidR="00000000" w:rsidRPr="00000000">
              <w:rPr>
                <w:highlight w:val="white"/>
                <w:rtl w:val="0"/>
              </w:rPr>
              <w:t xml:space="preserve"> (AL) champion team and the </w:t>
            </w:r>
            <w:hyperlink r:id="rId8">
              <w:r w:rsidDel="00000000" w:rsidR="00000000" w:rsidRPr="00000000">
                <w:rPr>
                  <w:rtl w:val="0"/>
                </w:rPr>
                <w:t xml:space="preserve">National League</w:t>
              </w:r>
            </w:hyperlink>
            <w:r w:rsidDel="00000000" w:rsidR="00000000" w:rsidRPr="00000000">
              <w:rPr>
                <w:highlight w:val="white"/>
                <w:rtl w:val="0"/>
              </w:rPr>
              <w:t xml:space="preserve">(NL) champion.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Eric Hosmer: </w:t>
            </w:r>
            <w:r w:rsidDel="00000000" w:rsidR="00000000" w:rsidRPr="00000000">
              <w:rPr>
                <w:rtl w:val="0"/>
              </w:rPr>
              <w:t xml:space="preserve">Royals current 1st baseman. </w:t>
            </w:r>
          </w:p>
        </w:tc>
      </w:tr>
    </w:tbl>
    <w:p w:rsidR="00000000" w:rsidDel="00000000" w:rsidP="00000000" w:rsidRDefault="00000000" w:rsidRPr="00000000">
      <w:pPr>
        <w:contextualSpacing w:val="0"/>
      </w:pPr>
      <w:r w:rsidDel="00000000" w:rsidR="00000000" w:rsidRPr="00000000">
        <w:rPr>
          <w:rtl w:val="0"/>
        </w:rPr>
      </w:r>
    </w:p>
    <w:tbl>
      <w:tblPr>
        <w:tblStyle w:val="Table6"/>
        <w:bidi w:val="0"/>
        <w:tblW w:w="143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
        <w:gridCol w:w="11865"/>
        <w:tblGridChange w:id="0">
          <w:tblGrid>
            <w:gridCol w:w="2520"/>
            <w:gridCol w:w="11865"/>
          </w:tblGrid>
        </w:tblGridChange>
      </w:tblGrid>
      <w:tr>
        <w:trPr>
          <w:trHeight w:val="640" w:hRule="atLeast"/>
        </w:trP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Materials/Technology:</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Projector, computer, Youtube (</w:t>
            </w:r>
            <w:hyperlink r:id="rId9">
              <w:r w:rsidDel="00000000" w:rsidR="00000000" w:rsidRPr="00000000">
                <w:rPr>
                  <w:color w:val="1155cc"/>
                  <w:u w:val="single"/>
                  <w:rtl w:val="0"/>
                </w:rPr>
                <w:t xml:space="preserve">Blue October</w:t>
              </w:r>
            </w:hyperlink>
            <w:r w:rsidDel="00000000" w:rsidR="00000000" w:rsidRPr="00000000">
              <w:rPr>
                <w:rtl w:val="0"/>
              </w:rPr>
              <w:t xml:space="preserve">, </w:t>
            </w:r>
            <w:hyperlink r:id="rId10">
              <w:r w:rsidDel="00000000" w:rsidR="00000000" w:rsidRPr="00000000">
                <w:rPr>
                  <w:color w:val="1155cc"/>
                  <w:u w:val="single"/>
                  <w:rtl w:val="0"/>
                </w:rPr>
                <w:t xml:space="preserve">Eric Hosmer</w:t>
              </w:r>
            </w:hyperlink>
            <w:r w:rsidDel="00000000" w:rsidR="00000000" w:rsidRPr="00000000">
              <w:rPr>
                <w:rtl w:val="0"/>
              </w:rPr>
              <w:t xml:space="preserve">)</w:t>
            </w:r>
            <w:r w:rsidDel="00000000" w:rsidR="00000000" w:rsidRPr="00000000">
              <w:rPr>
                <w:rtl w:val="0"/>
              </w:rPr>
              <w:t xml:space="preserve"> </w:t>
            </w:r>
            <w:hyperlink r:id="rId11">
              <w:r w:rsidDel="00000000" w:rsidR="00000000" w:rsidRPr="00000000">
                <w:rPr>
                  <w:color w:val="1155cc"/>
                  <w:sz w:val="24"/>
                  <w:szCs w:val="24"/>
                  <w:u w:val="single"/>
                  <w:rtl w:val="0"/>
                </w:rPr>
                <w:t xml:space="preserve">Assessment</w:t>
              </w:r>
            </w:hyperlink>
            <w:r w:rsidDel="00000000" w:rsidR="00000000" w:rsidRPr="00000000">
              <w:rPr>
                <w:rtl w:val="0"/>
              </w:rPr>
              <w:t xml:space="preserve">, Power paragraph handout, 4-Square handout, extra pencils, speakers.</w:t>
            </w:r>
            <w:r w:rsidDel="00000000" w:rsidR="00000000" w:rsidRPr="00000000">
              <w:rPr>
                <w:rtl w:val="0"/>
              </w:rPr>
            </w:r>
          </w:p>
        </w:tc>
      </w:tr>
      <w:tr>
        <w:trPr>
          <w:trHeight w:val="1040" w:hRule="atLeast"/>
        </w:trP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Differentiation:</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In first hour there is a student with a hearing impairment so I will turn the closed captioning of the video on. </w:t>
            </w:r>
          </w:p>
          <w:p w:rsidR="00000000" w:rsidDel="00000000" w:rsidP="00000000" w:rsidRDefault="00000000" w:rsidRPr="00000000">
            <w:pPr>
              <w:contextualSpacing w:val="0"/>
            </w:pPr>
            <w:r w:rsidDel="00000000" w:rsidR="00000000" w:rsidRPr="00000000">
              <w:rPr>
                <w:rtl w:val="0"/>
              </w:rPr>
            </w:r>
          </w:p>
        </w:tc>
      </w:tr>
      <w:tr>
        <w:trPr>
          <w:trHeight w:val="1260" w:hRule="atLeast"/>
        </w:trP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Introduction:</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Good morning everybody welcome to classroom PE. We are here because of the career fair in the gym. We are going to watch two videos about the Royals and take a baseball unit quiz. </w:t>
            </w:r>
          </w:p>
        </w:tc>
      </w:tr>
    </w:tbl>
    <w:p w:rsidR="00000000" w:rsidDel="00000000" w:rsidP="00000000" w:rsidRDefault="00000000" w:rsidRPr="00000000">
      <w:pPr>
        <w:contextualSpacing w:val="0"/>
      </w:pPr>
      <w:r w:rsidDel="00000000" w:rsidR="00000000" w:rsidRPr="00000000">
        <w:rPr>
          <w:rtl w:val="0"/>
        </w:rPr>
      </w:r>
    </w:p>
    <w:tbl>
      <w:tblPr>
        <w:tblStyle w:val="Table7"/>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65"/>
        <w:gridCol w:w="11835"/>
        <w:tblGridChange w:id="0">
          <w:tblGrid>
            <w:gridCol w:w="2565"/>
            <w:gridCol w:w="11835"/>
          </w:tblGrid>
        </w:tblGridChange>
      </w:tblGrid>
      <w:tr>
        <w:trPr>
          <w:trHeight w:val="1440" w:hRule="atLeast"/>
        </w:trP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Anticipatory Set:</w:t>
            </w:r>
          </w:p>
          <w:p w:rsidR="00000000" w:rsidDel="00000000" w:rsidP="00000000" w:rsidRDefault="00000000" w:rsidRPr="00000000">
            <w:pPr>
              <w:spacing w:after="0" w:before="0" w:line="240" w:lineRule="auto"/>
              <w:ind w:left="0" w:firstLine="0"/>
              <w:contextualSpacing w:val="0"/>
            </w:pPr>
            <w:r w:rsidDel="00000000" w:rsidR="00000000" w:rsidRPr="00000000">
              <w:rPr>
                <w:sz w:val="20"/>
                <w:szCs w:val="20"/>
                <w:rtl w:val="0"/>
              </w:rPr>
              <w:t xml:space="preserve">(Background knowledge)</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Alright who has heard the term Blue October? The Royals playoff run last year was a big deal for the team and our city. So we're going to write about it. For two bonus points on your assessment you can write on the back of your test the names of three Royals players.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Lesson Procedure (The following three categories occur simultaneously)</w:t>
      </w:r>
    </w:p>
    <w:p w:rsidR="00000000" w:rsidDel="00000000" w:rsidP="00000000" w:rsidRDefault="00000000" w:rsidRPr="00000000">
      <w:pPr>
        <w:contextualSpacing w:val="0"/>
      </w:pPr>
      <w:r w:rsidDel="00000000" w:rsidR="00000000" w:rsidRPr="00000000">
        <w:rPr>
          <w:rtl w:val="0"/>
        </w:rPr>
      </w:r>
    </w:p>
    <w:tbl>
      <w:tblPr>
        <w:tblStyle w:val="Table8"/>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0"/>
        <w:gridCol w:w="4800"/>
        <w:gridCol w:w="4800"/>
        <w:tblGridChange w:id="0">
          <w:tblGrid>
            <w:gridCol w:w="4800"/>
            <w:gridCol w:w="4800"/>
            <w:gridCol w:w="4800"/>
          </w:tblGrid>
        </w:tblGridChange>
      </w:tblGrid>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t xml:space="preserve">Instruction</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t xml:space="preserve">Modeling</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t xml:space="preserve">Checking for Understanding</w:t>
            </w:r>
          </w:p>
        </w:tc>
      </w:tr>
      <w:tr>
        <w:trPr>
          <w:trHeight w:val="2100" w:hRule="atLeast"/>
        </w:trPr>
        <w:tc>
          <w:tcPr>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pPr>
            <w:r w:rsidDel="00000000" w:rsidR="00000000" w:rsidRPr="00000000">
              <w:rPr>
                <w:rtl w:val="0"/>
              </w:rPr>
              <w:t xml:space="preserve">1. Students will come to the auditorium for classroom PE and pick up the assessment, a four-square and power paragraph template from the table in the middle.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t xml:space="preserve">2. They will sit down while I take attendance.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t xml:space="preserve">3. Students will take the 15 question post assessment.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t xml:space="preserve">4. Students will watch the videos and fill out their four-square.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t xml:space="preserve">5. Students will use the remainder of the period to transfer their writing from the four-square to the power paragraph. </w:t>
            </w:r>
          </w:p>
          <w:p w:rsidR="00000000" w:rsidDel="00000000" w:rsidP="00000000" w:rsidRDefault="00000000" w:rsidRPr="00000000">
            <w:pPr>
              <w:spacing w:after="0" w:before="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1. I will model the topic sentence.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I will model examples of details from the video for them to write about.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1. I will walk around the room checking on students.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9"/>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65"/>
        <w:gridCol w:w="11835"/>
        <w:tblGridChange w:id="0">
          <w:tblGrid>
            <w:gridCol w:w="2565"/>
            <w:gridCol w:w="11835"/>
          </w:tblGrid>
        </w:tblGridChange>
      </w:tblGrid>
      <w:tr>
        <w:trPr>
          <w:trHeight w:val="1380" w:hRule="atLeast"/>
        </w:trP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Guided Practice: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When I offer student examples of what they could write about. </w:t>
            </w:r>
          </w:p>
        </w:tc>
      </w:tr>
      <w:tr>
        <w:trPr>
          <w:trHeight w:val="1320" w:hRule="atLeast"/>
        </w:trP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Independent Practice:</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Students writing on their own. </w:t>
            </w:r>
          </w:p>
        </w:tc>
      </w:tr>
      <w:tr>
        <w:trPr>
          <w:trHeight w:val="1240" w:hRule="atLeast"/>
        </w:trP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Closure:</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Thanks for being respectful and quiet during classroom PE. Have a good afternoon and Go Royals!!</w:t>
            </w:r>
          </w:p>
        </w:tc>
      </w:tr>
      <w:tr>
        <w:trPr>
          <w:trHeight w:val="1320" w:hRule="atLeast"/>
        </w:trP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Self Reflection:</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Did my students meet the objective? </w:t>
            </w:r>
          </w:p>
          <w:p w:rsidR="00000000" w:rsidDel="00000000" w:rsidP="00000000" w:rsidRDefault="00000000" w:rsidRPr="00000000">
            <w:pPr>
              <w:contextualSpacing w:val="0"/>
            </w:pPr>
            <w:r w:rsidDel="00000000" w:rsidR="00000000" w:rsidRPr="00000000">
              <w:rPr>
                <w:rtl w:val="0"/>
              </w:rPr>
              <w:t xml:space="preserve">Were my students engaged? </w:t>
            </w:r>
          </w:p>
          <w:p w:rsidR="00000000" w:rsidDel="00000000" w:rsidP="00000000" w:rsidRDefault="00000000" w:rsidRPr="00000000">
            <w:pPr>
              <w:contextualSpacing w:val="0"/>
            </w:pPr>
            <w:r w:rsidDel="00000000" w:rsidR="00000000" w:rsidRPr="00000000">
              <w:rPr>
                <w:rtl w:val="0"/>
              </w:rPr>
              <w:t xml:space="preserve">Did my students stay focused?</w:t>
            </w:r>
          </w:p>
          <w:p w:rsidR="00000000" w:rsidDel="00000000" w:rsidP="00000000" w:rsidRDefault="00000000" w:rsidRPr="00000000">
            <w:pPr>
              <w:contextualSpacing w:val="0"/>
            </w:pPr>
            <w:r w:rsidDel="00000000" w:rsidR="00000000" w:rsidRPr="00000000">
              <w:rPr>
                <w:rtl w:val="0"/>
              </w:rPr>
              <w:t xml:space="preserve">Did students transition effectively?</w:t>
            </w:r>
          </w:p>
          <w:p w:rsidR="00000000" w:rsidDel="00000000" w:rsidP="00000000" w:rsidRDefault="00000000" w:rsidRPr="00000000">
            <w:pPr>
              <w:contextualSpacing w:val="0"/>
            </w:pPr>
            <w:r w:rsidDel="00000000" w:rsidR="00000000" w:rsidRPr="00000000">
              <w:rPr>
                <w:rtl w:val="0"/>
              </w:rPr>
              <w:t xml:space="preserve">Did I use a novelty to reach my students?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2240" w:w="158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mbria">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s://www.englishclub.com/vocabulary/sports-baseball.htm" TargetMode="External"/><Relationship Id="rId10" Type="http://schemas.openxmlformats.org/officeDocument/2006/relationships/hyperlink" Target="https://www.youtube.com/watch?v=WToDGPxY7cY&amp;index=1&amp;list=PLVO6qUaeK087UbeBSm5PTm1cfeLHDaVGn" TargetMode="External"/><Relationship Id="rId9" Type="http://schemas.openxmlformats.org/officeDocument/2006/relationships/hyperlink" Target="https://www.youtube.com/watch?v=WCwxuOKRO78&amp;index=2&amp;list=PLVO6qUaeK087UbeBSm5PTm1cfeLHDaVGn" TargetMode="External"/><Relationship Id="rId5" Type="http://schemas.openxmlformats.org/officeDocument/2006/relationships/hyperlink" Target="http://en.wikipedia.org/wiki/Major_League_Baseball" TargetMode="External"/><Relationship Id="rId6" Type="http://schemas.openxmlformats.org/officeDocument/2006/relationships/hyperlink" Target="http://en.wikipedia.org/wiki/1903_World_Series" TargetMode="External"/><Relationship Id="rId7" Type="http://schemas.openxmlformats.org/officeDocument/2006/relationships/hyperlink" Target="http://en.wikipedia.org/wiki/American_League" TargetMode="External"/><Relationship Id="rId8" Type="http://schemas.openxmlformats.org/officeDocument/2006/relationships/hyperlink" Target="http://en.wikipedia.org/wiki/National_Leagu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mbria-regular.ttf"/><Relationship Id="rId2" Type="http://schemas.openxmlformats.org/officeDocument/2006/relationships/font" Target="fonts/Cambria-bold.ttf"/><Relationship Id="rId3" Type="http://schemas.openxmlformats.org/officeDocument/2006/relationships/font" Target="fonts/Cambria-italic.ttf"/><Relationship Id="rId4" Type="http://schemas.openxmlformats.org/officeDocument/2006/relationships/font" Target="fonts/Cambria-boldItalic.ttf"/></Relationships>
</file>